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Multi-Backend Routing Is Insurance Against Model Risk</w:t>
      </w:r>
    </w:p>
    <w:p>
      <w:pPr>
        <w:pStyle w:val="BodyText"/>
        <w:bidi w:val="0"/>
        <w:jc w:val="start"/>
        <w:rPr/>
      </w:pPr>
      <w:r>
        <w:rPr/>
        <w:t>Most teams building with AI are more coupled to a single model vendor than they realize.</w:t>
      </w:r>
    </w:p>
    <w:p>
      <w:pPr>
        <w:pStyle w:val="BodyText"/>
        <w:bidi w:val="0"/>
        <w:jc w:val="start"/>
        <w:rPr/>
      </w:pPr>
      <w:r>
        <w:rPr/>
        <w:t>The coupling is rarely deliberate. It accumulates quietly. A tool gets adopted because it works. A workflow grows around its habits. Prompts acquire small workarounds. Parsers begin to depend on one model’s formatting tics. After a few months, the team’s productivity has become a function of one provider’s product decisions.</w:t>
      </w:r>
    </w:p>
    <w:p>
      <w:pPr>
        <w:pStyle w:val="BodyText"/>
        <w:bidi w:val="0"/>
        <w:jc w:val="start"/>
        <w:rPr/>
      </w:pPr>
      <w:r>
        <w:rPr/>
        <w:t>Then the provider raises prices, changes rate limits, alters model behavior, deprecates a version, or shifts strategy. The team experiences someone else’s roadmap as an outage in its own work.</w:t>
      </w:r>
    </w:p>
    <w:p>
      <w:pPr>
        <w:pStyle w:val="BodyText"/>
        <w:bidi w:val="0"/>
        <w:jc w:val="start"/>
        <w:rPr/>
      </w:pPr>
      <w:r>
        <w:rPr/>
        <w:t>The lesson is not that model providers are unreliable. The lesson is that model choice should be governed as policy, not treated as identity.</w:t>
      </w:r>
    </w:p>
    <w:p>
      <w:pPr>
        <w:pStyle w:val="BodyText"/>
        <w:bidi w:val="0"/>
        <w:jc w:val="start"/>
        <w:rPr/>
      </w:pPr>
      <w:r>
        <w:rPr/>
        <w:t>A dependable AI development system does not run on a model. It runs on an orchestrator that uses models. The backend should be chosen per task and replaceable without disturbing the rest of the system.</w:t>
      </w:r>
    </w:p>
    <w:p>
      <w:pPr>
        <w:pStyle w:val="BodyText"/>
        <w:bidi w:val="0"/>
        <w:jc w:val="start"/>
        <w:rPr/>
      </w:pPr>
      <w:r>
        <w:rPr/>
        <w:t>Multi-backend routing makes that possible. It is not abstraction for its own sake. It is insurance against a market that changes faster than most architectures can absorb.</w:t>
      </w:r>
    </w:p>
    <w:p>
      <w:pPr>
        <w:pStyle w:val="BodyText"/>
        <w:bidi w:val="0"/>
        <w:jc w:val="start"/>
        <w:rPr/>
      </w:pPr>
      <w:r>
        <w:rPr/>
        <w:t>The diagnostic question is simple: if your preferred provider raised prices fifty percent next month, throttled your account to a quarter of its current capacity, or shipped a regression in your most common task, how much of your workflow would still function?</w:t>
      </w:r>
    </w:p>
    <w:p>
      <w:pPr>
        <w:pStyle w:val="BodyText"/>
        <w:bidi w:val="0"/>
        <w:jc w:val="start"/>
        <w:rPr/>
      </w:pPr>
      <w:r>
        <w:rPr/>
        <w:t>If the honest answer is “very little,” the system has a coupling problem, no matter how well it performs today.</w:t>
      </w:r>
    </w:p>
    <w:p>
      <w:pPr>
        <w:pStyle w:val="Heading2"/>
        <w:bidi w:val="0"/>
        <w:jc w:val="start"/>
        <w:rPr/>
      </w:pPr>
      <w:r>
        <w:rPr/>
        <w:t>The provider surface will not stay still</w:t>
      </w:r>
    </w:p>
    <w:p>
      <w:pPr>
        <w:pStyle w:val="BodyText"/>
        <w:bidi w:val="0"/>
        <w:jc w:val="start"/>
        <w:rPr/>
      </w:pPr>
      <w:r>
        <w:rPr/>
        <w:t>Model providers change their products constantly, and not in ways that respect the architectures built on top of them.</w:t>
      </w:r>
    </w:p>
    <w:p>
      <w:pPr>
        <w:pStyle w:val="BodyText"/>
        <w:bidi w:val="0"/>
        <w:jc w:val="start"/>
        <w:rPr/>
      </w:pPr>
      <w:r>
        <w:rPr/>
        <w:t>Rate limits move. Pricing tiers change shape. Model versions disappear. New models replace old ones with subtle behavior shifts: better at some tasks, quietly worse at others. Quotas that once felt generous become restrictive when usage grows faster than provider capacity.</w:t>
      </w:r>
    </w:p>
    <w:p>
      <w:pPr>
        <w:pStyle w:val="BodyText"/>
        <w:bidi w:val="0"/>
        <w:jc w:val="start"/>
        <w:rPr/>
      </w:pPr>
      <w:r>
        <w:rPr/>
        <w:t>None of this requires bad faith. It is what running a frontier model business looks like.</w:t>
      </w:r>
    </w:p>
    <w:p>
      <w:pPr>
        <w:pStyle w:val="BodyText"/>
        <w:bidi w:val="0"/>
        <w:jc w:val="start"/>
        <w:rPr/>
      </w:pPr>
      <w:r>
        <w:rPr/>
        <w:t>The implication for downstream systems is plain: any architecture whose reliability depends on one provider’s specific behavior inherits that provider’s volatility. The provider’s roadmap becomes part of the system’s risk surface.</w:t>
      </w:r>
    </w:p>
    <w:p>
      <w:pPr>
        <w:pStyle w:val="BodyText"/>
        <w:bidi w:val="0"/>
        <w:jc w:val="start"/>
        <w:rPr/>
      </w:pPr>
      <w:r>
        <w:rPr/>
        <w:t>The conventional response is to wait for the market to stabilize. It will not. The forces that make model providers volatile — fast capability gains, expensive infrastructure, intense competition — are structural. Volatility is the steady state.</w:t>
      </w:r>
    </w:p>
    <w:p>
      <w:pPr>
        <w:pStyle w:val="BodyText"/>
        <w:bidi w:val="0"/>
        <w:jc w:val="start"/>
        <w:rPr/>
      </w:pPr>
      <w:r>
        <w:rPr/>
        <w:t>Architectures that assume otherwise will be surprised on a regular schedule.</w:t>
      </w:r>
    </w:p>
    <w:p>
      <w:pPr>
        <w:pStyle w:val="Heading2"/>
        <w:bidi w:val="0"/>
        <w:jc w:val="start"/>
        <w:rPr/>
      </w:pPr>
      <w:r>
        <w:rPr/>
        <w:t>Different tasks want different workers</w:t>
      </w:r>
    </w:p>
    <w:p>
      <w:pPr>
        <w:pStyle w:val="BodyText"/>
        <w:bidi w:val="0"/>
        <w:jc w:val="start"/>
        <w:rPr/>
      </w:pPr>
      <w:r>
        <w:rPr/>
        <w:t>The case for multi-backend routing is not only defensive. Different backends have different strengths. A system that can choose among them can do better work, not merely safer work.</w:t>
      </w:r>
    </w:p>
    <w:p>
      <w:pPr>
        <w:pStyle w:val="BodyText"/>
        <w:bidi w:val="0"/>
        <w:jc w:val="start"/>
        <w:rPr/>
      </w:pPr>
      <w:r>
        <w:rPr/>
        <w:t>Some backends are strong at large, multi-file implementation. Others are better for surgical changes in a small surface area. Some are useful for planning and review. Others are blunt but effective instruments for mechanical refactoring.</w:t>
      </w:r>
    </w:p>
    <w:p>
      <w:pPr>
        <w:pStyle w:val="BodyText"/>
        <w:bidi w:val="0"/>
        <w:jc w:val="start"/>
        <w:rPr/>
      </w:pPr>
      <w:r>
        <w:rPr/>
        <w:t>The differences are not only cognitive. Some backends are quota-backed through subscriptions and effectively free at the margin. Others are metered per token. Some run locally on hardware you control. Others require an API call to someone else’s infrastructure.</w:t>
      </w:r>
    </w:p>
    <w:p>
      <w:pPr>
        <w:pStyle w:val="BodyText"/>
        <w:bidi w:val="0"/>
        <w:jc w:val="start"/>
        <w:rPr/>
      </w:pPr>
      <w:r>
        <w:rPr/>
        <w:t>A backend is not just a model name. It is a capability profile: what it can execute, what context it can hold, where it runs, what it costs, and how it fails.</w:t>
      </w:r>
    </w:p>
    <w:p>
      <w:pPr>
        <w:pStyle w:val="BodyText"/>
        <w:bidi w:val="0"/>
        <w:jc w:val="start"/>
        <w:rPr/>
      </w:pPr>
      <w:r>
        <w:rPr/>
        <w:t>A single-backend system has to compromise across all of those dimensions. Its chosen backend must be acceptable for every task, which usually means it is excellent at none of them.</w:t>
      </w:r>
    </w:p>
    <w:p>
      <w:pPr>
        <w:pStyle w:val="BodyText"/>
        <w:bidi w:val="0"/>
        <w:jc w:val="start"/>
        <w:rPr/>
      </w:pPr>
      <w:r>
        <w:rPr/>
        <w:t>A multi-backend system can match the worker to the work. The orchestrator applies the routing policy consistently, and the decision becomes part of the system rather than a habit in the operator’s head.</w:t>
      </w:r>
    </w:p>
    <w:p>
      <w:pPr>
        <w:pStyle w:val="BodyText"/>
        <w:bidi w:val="0"/>
        <w:jc w:val="start"/>
        <w:rPr/>
      </w:pPr>
      <w:r>
        <w:rPr/>
        <w:t>Backend choice belongs in the task contract itself. It should be declared when the task is defined, not improvised halfway through execution. Written down, it can be audited. Left implicit, it becomes folklore.</w:t>
      </w:r>
    </w:p>
    <w:p>
      <w:pPr>
        <w:pStyle w:val="Heading2"/>
        <w:bidi w:val="0"/>
        <w:jc w:val="start"/>
        <w:rPr/>
      </w:pPr>
      <w:r>
        <w:rPr/>
        <w:t>Stable orchestrator, replaceable workers</w:t>
      </w:r>
    </w:p>
    <w:p>
      <w:pPr>
        <w:pStyle w:val="BodyText"/>
        <w:bidi w:val="0"/>
        <w:jc w:val="start"/>
        <w:rPr/>
      </w:pPr>
      <w:r>
        <w:rPr/>
        <w:t>The architectural principle is to separate what changes from what should stay still.</w:t>
      </w:r>
    </w:p>
    <w:p>
      <w:pPr>
        <w:pStyle w:val="BodyText"/>
        <w:bidi w:val="0"/>
        <w:jc w:val="start"/>
        <w:rPr/>
      </w:pPr>
      <w:r>
        <w:rPr/>
        <w:t xml:space="preserve">Here, </w:t>
      </w:r>
      <w:r>
        <w:rPr>
          <w:rStyle w:val="Emphasis"/>
        </w:rPr>
        <w:t>backend</w:t>
      </w:r>
      <w:r>
        <w:rPr/>
        <w:t xml:space="preserve"> means the execution path: a model, tool, CLI, API, local runner, or adapter the supervisor can dispatch work to. The pattern is not merely about choosing among API providers. It is about treating any executor — Codex CLI, Claude Code CLI, Gemini CLI, Aider, or a local model server — as a worker behind a stable interface.</w:t>
      </w:r>
    </w:p>
    <w:p>
      <w:pPr>
        <w:pStyle w:val="BodyText"/>
        <w:bidi w:val="0"/>
        <w:jc w:val="start"/>
        <w:rPr/>
      </w:pPr>
      <w:r>
        <w:rPr/>
        <w:t>The orchestrator stays still. It knows how to plan, route, execute, review, verify, and record. The backends are workers it dispatches to. Each adapter presents the same shape upward: give it a task contract, get back a result.</w:t>
      </w:r>
    </w:p>
    <w:p>
      <w:pPr>
        <w:pStyle w:val="BodyText"/>
        <w:bidi w:val="0"/>
        <w:jc w:val="start"/>
        <w:rPr/>
      </w:pPr>
      <w:r>
        <w:rPr/>
        <w:t>In a working supervisor system, the registry can be small and explicit:</w:t>
      </w:r>
    </w:p>
    <w:p>
      <w:pPr>
        <w:pStyle w:val="PreformattedText"/>
        <w:bidi w:val="0"/>
        <w:jc w:val="start"/>
        <w:rPr/>
      </w:pPr>
      <w:r>
        <w:rPr>
          <w:rStyle w:val="SourceText"/>
        </w:rPr>
        <w:t>class BackendRegistry:</w:t>
      </w:r>
    </w:p>
    <w:p>
      <w:pPr>
        <w:pStyle w:val="PreformattedText"/>
        <w:bidi w:val="0"/>
        <w:jc w:val="start"/>
        <w:rPr/>
      </w:pPr>
      <w:r>
        <w:rPr>
          <w:rStyle w:val="SourceText"/>
        </w:rPr>
        <w:t xml:space="preserve">    </w:t>
      </w:r>
      <w:r>
        <w:rPr>
          <w:rStyle w:val="SourceText"/>
        </w:rPr>
        <w:t>def __init__(self):</w:t>
      </w:r>
    </w:p>
    <w:p>
      <w:pPr>
        <w:pStyle w:val="PreformattedText"/>
        <w:bidi w:val="0"/>
        <w:jc w:val="start"/>
        <w:rPr/>
      </w:pPr>
      <w:r>
        <w:rPr>
          <w:rStyle w:val="SourceText"/>
        </w:rPr>
        <w:t xml:space="preserve">        </w:t>
      </w:r>
      <w:r>
        <w:rPr>
          <w:rStyle w:val="SourceText"/>
        </w:rPr>
        <w:t>self._backends = {</w:t>
      </w:r>
    </w:p>
    <w:p>
      <w:pPr>
        <w:pStyle w:val="PreformattedText"/>
        <w:bidi w:val="0"/>
        <w:jc w:val="start"/>
        <w:rPr/>
      </w:pPr>
      <w:r>
        <w:rPr>
          <w:rStyle w:val="SourceText"/>
        </w:rPr>
        <w:t xml:space="preserve">            </w:t>
      </w:r>
      <w:r>
        <w:rPr>
          <w:rStyle w:val="SourceText"/>
        </w:rPr>
        <w:t>"codex_cli":       lambda root: CodexCliBackend(root),</w:t>
      </w:r>
    </w:p>
    <w:p>
      <w:pPr>
        <w:pStyle w:val="PreformattedText"/>
        <w:bidi w:val="0"/>
        <w:jc w:val="start"/>
        <w:rPr/>
      </w:pPr>
      <w:r>
        <w:rPr>
          <w:rStyle w:val="SourceText"/>
        </w:rPr>
        <w:t xml:space="preserve">            </w:t>
      </w:r>
      <w:r>
        <w:rPr>
          <w:rStyle w:val="SourceText"/>
        </w:rPr>
        <w:t>"claude_code_cli": lambda root: ClaudeCodeCliBackend(root),</w:t>
      </w:r>
    </w:p>
    <w:p>
      <w:pPr>
        <w:pStyle w:val="PreformattedText"/>
        <w:bidi w:val="0"/>
        <w:jc w:val="start"/>
        <w:rPr/>
      </w:pPr>
      <w:r>
        <w:rPr>
          <w:rStyle w:val="SourceText"/>
        </w:rPr>
        <w:t xml:space="preserve">            </w:t>
      </w:r>
      <w:r>
        <w:rPr>
          <w:rStyle w:val="SourceText"/>
        </w:rPr>
        <w:t>"gemini_cli":      lambda root: GeminiCliBackend(root),</w:t>
      </w:r>
    </w:p>
    <w:p>
      <w:pPr>
        <w:pStyle w:val="PreformattedText"/>
        <w:bidi w:val="0"/>
        <w:jc w:val="start"/>
        <w:rPr/>
      </w:pPr>
      <w:r>
        <w:rPr>
          <w:rStyle w:val="SourceText"/>
        </w:rPr>
        <w:t xml:space="preserve">            </w:t>
      </w:r>
      <w:r>
        <w:rPr>
          <w:rStyle w:val="SourceText"/>
        </w:rPr>
        <w:t>"aider_cli":       lambda root: AiderCliBackend(root),</w:t>
      </w:r>
    </w:p>
    <w:p>
      <w:pPr>
        <w:pStyle w:val="PreformattedText"/>
        <w:bidi w:val="0"/>
        <w:jc w:val="start"/>
        <w:rPr/>
      </w:pPr>
      <w:r>
        <w:rPr>
          <w:rStyle w:val="SourceText"/>
        </w:rPr>
        <w:t xml:space="preserve">        </w:t>
      </w:r>
      <w:r>
        <w:rPr>
          <w:rStyle w:val="SourceText"/>
        </w:rPr>
        <w:t>}</w:t>
      </w:r>
    </w:p>
    <w:p>
      <w:pPr>
        <w:pStyle w:val="PreformattedText"/>
        <w:bidi w:val="0"/>
        <w:jc w:val="start"/>
        <w:rPr/>
      </w:pPr>
      <w:r>
        <w:rPr/>
      </w:r>
    </w:p>
    <w:p>
      <w:pPr>
        <w:pStyle w:val="PreformattedText"/>
        <w:bidi w:val="0"/>
        <w:jc w:val="start"/>
        <w:rPr/>
      </w:pPr>
      <w:r>
        <w:rPr>
          <w:rStyle w:val="SourceText"/>
        </w:rPr>
        <w:t xml:space="preserve">    </w:t>
      </w:r>
      <w:r>
        <w:rPr>
          <w:rStyle w:val="SourceText"/>
        </w:rPr>
        <w:t>def get(self, name, working_root):</w:t>
      </w:r>
    </w:p>
    <w:p>
      <w:pPr>
        <w:pStyle w:val="PreformattedText"/>
        <w:bidi w:val="0"/>
        <w:spacing w:before="0" w:after="283"/>
        <w:jc w:val="start"/>
        <w:rPr/>
      </w:pPr>
      <w:r>
        <w:rPr>
          <w:rStyle w:val="SourceText"/>
        </w:rPr>
        <w:t xml:space="preserve">        </w:t>
      </w:r>
      <w:r>
        <w:rPr>
          <w:rStyle w:val="SourceText"/>
        </w:rPr>
        <w:t>return self._backends[name](working_root)</w:t>
      </w:r>
    </w:p>
    <w:p>
      <w:pPr>
        <w:pStyle w:val="BodyText"/>
        <w:bidi w:val="0"/>
        <w:jc w:val="start"/>
        <w:rPr/>
      </w:pPr>
      <w:r>
        <w:rPr/>
        <w:t>The backends are not equivalent. They differ in capability, cost, latency, context handling, and operational quirks. The registry does not pretend otherwise. It creates a seam where those differences can be handled by adapters rather than leaked into the orchestrator.</w:t>
      </w:r>
    </w:p>
    <w:p>
      <w:pPr>
        <w:pStyle w:val="BodyText"/>
        <w:bidi w:val="0"/>
        <w:jc w:val="start"/>
        <w:rPr/>
      </w:pPr>
      <w:r>
        <w:rPr/>
        <w:t>The abstraction is not the dictionary. The abstraction is the authority boundary: the orchestrator owns the workflow; the backend owns the execution mechanism.</w:t>
      </w:r>
    </w:p>
    <w:p>
      <w:pPr>
        <w:pStyle w:val="BodyText"/>
        <w:bidi w:val="0"/>
        <w:jc w:val="start"/>
        <w:rPr/>
      </w:pPr>
      <w:r>
        <w:rPr/>
        <w:t>Adding a fifth backend should mean one new adapter and one new registry entry. The orchestrator above should not change.</w:t>
      </w:r>
    </w:p>
    <w:p>
      <w:pPr>
        <w:pStyle w:val="BodyText"/>
        <w:bidi w:val="0"/>
        <w:jc w:val="start"/>
        <w:rPr/>
      </w:pPr>
      <w:r>
        <w:rPr/>
        <w:t>That is what makes routing real rather than aspirational. If orchestrator and worker are tangled together, swapping a backend means rewriting the system. Once the seam is clean, the orchestrator becomes the long-lived asset, and the backends become replaceable infrastructure beneath it.</w:t>
      </w:r>
    </w:p>
    <w:p>
      <w:pPr>
        <w:pStyle w:val="Heading2"/>
        <w:bidi w:val="0"/>
        <w:jc w:val="start"/>
        <w:rPr/>
      </w:pPr>
      <w:r>
        <w:rPr/>
        <w:t>Escalation as economic policy</w:t>
      </w:r>
    </w:p>
    <w:p>
      <w:pPr>
        <w:pStyle w:val="BodyText"/>
        <w:bidi w:val="0"/>
        <w:jc w:val="start"/>
        <w:rPr/>
      </w:pPr>
      <w:r>
        <w:rPr/>
        <w:t>The same seam that protects against vendor risk also supports escalation policy.</w:t>
      </w:r>
    </w:p>
    <w:p>
      <w:pPr>
        <w:pStyle w:val="BodyText"/>
        <w:bidi w:val="0"/>
        <w:jc w:val="start"/>
        <w:rPr/>
      </w:pPr>
      <w:r>
        <w:rPr/>
        <w:t>If the orchestrator can route to any backend, it can try the cheapest acceptable worker first and escalate only when the result warrants it.</w:t>
      </w:r>
    </w:p>
    <w:p>
      <w:pPr>
        <w:pStyle w:val="BodyText"/>
        <w:bidi w:val="0"/>
        <w:jc w:val="start"/>
        <w:rPr/>
      </w:pPr>
      <w:r>
        <w:rPr/>
        <w:t>A reasonable escalation order starts with local inference when it is available. The marginal cost is electricity. If the task exceeds local capability, work can move to a quota-backed subscription that has already been paid for. Only when those paths are exhausted or unsuitable should the system fall through to metered API calls, where each attempt has a visible cost.</w:t>
      </w:r>
    </w:p>
    <w:p>
      <w:pPr>
        <w:pStyle w:val="BodyText"/>
        <w:bidi w:val="0"/>
        <w:jc w:val="start"/>
        <w:rPr/>
      </w:pPr>
      <w:r>
        <w:rPr/>
        <w:t>The policy can be simple:</w:t>
      </w:r>
    </w:p>
    <w:p>
      <w:pPr>
        <w:pStyle w:val="PreformattedText"/>
        <w:bidi w:val="0"/>
        <w:jc w:val="start"/>
        <w:rPr/>
      </w:pPr>
      <w:r>
        <w:rPr>
          <w:rStyle w:val="SourceText"/>
        </w:rPr>
        <w:t>def execute_with_escalation(task):</w:t>
      </w:r>
    </w:p>
    <w:p>
      <w:pPr>
        <w:pStyle w:val="PreformattedText"/>
        <w:bidi w:val="0"/>
        <w:jc w:val="start"/>
        <w:rPr/>
      </w:pPr>
      <w:r>
        <w:rPr>
          <w:rStyle w:val="SourceText"/>
        </w:rPr>
        <w:t xml:space="preserve">    </w:t>
      </w:r>
      <w:r>
        <w:rPr>
          <w:rStyle w:val="SourceText"/>
        </w:rPr>
        <w:t>for backend_name in task.escalation_chain:  # e.g. ["local_qwen", "claude_code_cli", "codex_cli"]</w:t>
      </w:r>
    </w:p>
    <w:p>
      <w:pPr>
        <w:pStyle w:val="PreformattedText"/>
        <w:bidi w:val="0"/>
        <w:jc w:val="start"/>
        <w:rPr/>
      </w:pPr>
      <w:r>
        <w:rPr>
          <w:rStyle w:val="SourceText"/>
        </w:rPr>
        <w:t xml:space="preserve">        </w:t>
      </w:r>
      <w:r>
        <w:rPr>
          <w:rStyle w:val="SourceText"/>
        </w:rPr>
        <w:t>backend = registry.get(backend_name, working_root)</w:t>
      </w:r>
    </w:p>
    <w:p>
      <w:pPr>
        <w:pStyle w:val="PreformattedText"/>
        <w:bidi w:val="0"/>
        <w:jc w:val="start"/>
        <w:rPr/>
      </w:pPr>
      <w:r>
        <w:rPr>
          <w:rStyle w:val="SourceText"/>
        </w:rPr>
        <w:t xml:space="preserve">        </w:t>
      </w:r>
      <w:r>
        <w:rPr>
          <w:rStyle w:val="SourceText"/>
        </w:rPr>
        <w:t>result = supervisor.run(task, backend=backend)</w:t>
      </w:r>
    </w:p>
    <w:p>
      <w:pPr>
        <w:pStyle w:val="PreformattedText"/>
        <w:bidi w:val="0"/>
        <w:jc w:val="start"/>
        <w:rPr/>
      </w:pPr>
      <w:r>
        <w:rPr/>
      </w:r>
    </w:p>
    <w:p>
      <w:pPr>
        <w:pStyle w:val="PreformattedText"/>
        <w:bidi w:val="0"/>
        <w:jc w:val="start"/>
        <w:rPr/>
      </w:pPr>
      <w:r>
        <w:rPr>
          <w:rStyle w:val="SourceText"/>
        </w:rPr>
        <w:t xml:space="preserve">        </w:t>
      </w:r>
      <w:r>
        <w:rPr>
          <w:rStyle w:val="SourceText"/>
        </w:rPr>
        <w:t>if result.accepted:</w:t>
      </w:r>
    </w:p>
    <w:p>
      <w:pPr>
        <w:pStyle w:val="PreformattedText"/>
        <w:bidi w:val="0"/>
        <w:jc w:val="start"/>
        <w:rPr/>
      </w:pPr>
      <w:r>
        <w:rPr>
          <w:rStyle w:val="SourceText"/>
        </w:rPr>
        <w:t xml:space="preserve">            </w:t>
      </w:r>
      <w:r>
        <w:rPr>
          <w:rStyle w:val="SourceText"/>
        </w:rPr>
        <w:t>return result</w:t>
      </w:r>
    </w:p>
    <w:p>
      <w:pPr>
        <w:pStyle w:val="PreformattedText"/>
        <w:bidi w:val="0"/>
        <w:jc w:val="start"/>
        <w:rPr/>
      </w:pPr>
      <w:r>
        <w:rPr/>
      </w:r>
    </w:p>
    <w:p>
      <w:pPr>
        <w:pStyle w:val="PreformattedText"/>
        <w:bidi w:val="0"/>
        <w:jc w:val="start"/>
        <w:rPr/>
      </w:pPr>
      <w:r>
        <w:rPr>
          <w:rStyle w:val="SourceText"/>
        </w:rPr>
        <w:t xml:space="preserve">        </w:t>
      </w:r>
      <w:r>
        <w:rPr>
          <w:rStyle w:val="SourceText"/>
        </w:rPr>
        <w:t>if not result.escalation_warranted:  # contract failure, not capability shortfall</w:t>
      </w:r>
    </w:p>
    <w:p>
      <w:pPr>
        <w:pStyle w:val="PreformattedText"/>
        <w:bidi w:val="0"/>
        <w:jc w:val="start"/>
        <w:rPr/>
      </w:pPr>
      <w:r>
        <w:rPr>
          <w:rStyle w:val="SourceText"/>
        </w:rPr>
        <w:t xml:space="preserve">            </w:t>
      </w:r>
      <w:r>
        <w:rPr>
          <w:rStyle w:val="SourceText"/>
        </w:rPr>
        <w:t>return result</w:t>
      </w:r>
    </w:p>
    <w:p>
      <w:pPr>
        <w:pStyle w:val="PreformattedText"/>
        <w:bidi w:val="0"/>
        <w:jc w:val="start"/>
        <w:rPr/>
      </w:pPr>
      <w:r>
        <w:rPr/>
      </w:r>
    </w:p>
    <w:p>
      <w:pPr>
        <w:pStyle w:val="PreformattedText"/>
        <w:bidi w:val="0"/>
        <w:spacing w:before="0" w:after="283"/>
        <w:jc w:val="start"/>
        <w:rPr/>
      </w:pPr>
      <w:r>
        <w:rPr>
          <w:rStyle w:val="SourceText"/>
        </w:rPr>
        <w:t xml:space="preserve">    </w:t>
      </w:r>
      <w:r>
        <w:rPr>
          <w:rStyle w:val="SourceText"/>
        </w:rPr>
        <w:t>return result</w:t>
      </w:r>
    </w:p>
    <w:p>
      <w:pPr>
        <w:pStyle w:val="BodyText"/>
        <w:bidi w:val="0"/>
        <w:jc w:val="start"/>
        <w:rPr/>
      </w:pPr>
      <w:r>
        <w:rPr/>
        <w:t>The load-bearing distinction is between capability shortfall and contract failure.</w:t>
      </w:r>
    </w:p>
    <w:p>
      <w:pPr>
        <w:pStyle w:val="BodyText"/>
        <w:bidi w:val="0"/>
        <w:jc w:val="start"/>
        <w:rPr/>
      </w:pPr>
      <w:r>
        <w:rPr/>
        <w:t>A capability shortfall is the right reason to escalate. The task was sound, but the backend could not handle it. A contract failure is the wrong reason. The task itself was malformed, or the requested change was wrong. Escalating on contract failure means asking a more expensive backend the same bad question.</w:t>
      </w:r>
    </w:p>
    <w:p>
      <w:pPr>
        <w:pStyle w:val="BodyText"/>
        <w:bidi w:val="0"/>
        <w:jc w:val="start"/>
        <w:rPr/>
      </w:pPr>
      <w:r>
        <w:rPr/>
        <w:t>Verification is what makes that distinction safe. Without an external pass/fail gate, the system cannot tell whether a backend lacked capability or merely produced plausible nonsense. The escalation chain is not a search for a more agreeable model. It is a bounded attempt to find a capable worker, using the same contract and the same acceptance gate.</w:t>
      </w:r>
    </w:p>
    <w:p>
      <w:pPr>
        <w:pStyle w:val="BodyText"/>
        <w:bidi w:val="0"/>
        <w:jc w:val="start"/>
        <w:rPr/>
      </w:pPr>
      <w:r>
        <w:rPr/>
        <w:t>Routing without verification is backend roulette.</w:t>
      </w:r>
    </w:p>
    <w:p>
      <w:pPr>
        <w:pStyle w:val="BodyText"/>
        <w:bidi w:val="0"/>
        <w:jc w:val="start"/>
        <w:rPr/>
      </w:pPr>
      <w:r>
        <w:rPr/>
        <w:t>When implemented well, multi-backend routing can improve cost and latency at the same time, which is rare. Local inference may be faster than an API round trip for short tasks. Quota-backed calls can avoid metered costs until quota becomes the real constraint.</w:t>
      </w:r>
    </w:p>
    <w:p>
      <w:pPr>
        <w:pStyle w:val="BodyText"/>
        <w:bidi w:val="0"/>
        <w:jc w:val="start"/>
        <w:rPr/>
      </w:pPr>
      <w:r>
        <w:rPr/>
        <w:t>The system also learns. Over time, the audit trail shows which backends handle which task types well. That evidence is hard to extract from a single-backend system, where every task uses the same worker. In a routed system, success and failure rates by backend and task type become evidence for better policy.</w:t>
      </w:r>
    </w:p>
    <w:p>
      <w:pPr>
        <w:pStyle w:val="BodyText"/>
        <w:bidi w:val="0"/>
        <w:jc w:val="start"/>
        <w:rPr/>
      </w:pPr>
      <w:r>
        <w:rPr/>
        <w:t>Routing can begin as judgment. It should mature into evidence.</w:t>
      </w:r>
    </w:p>
    <w:p>
      <w:pPr>
        <w:pStyle w:val="Heading2"/>
        <w:bidi w:val="0"/>
        <w:jc w:val="start"/>
        <w:rPr/>
      </w:pPr>
      <w:r>
        <w:rPr/>
        <w:t>What fragile vendor coupling looks like</w:t>
      </w:r>
    </w:p>
    <w:p>
      <w:pPr>
        <w:pStyle w:val="BodyText"/>
        <w:bidi w:val="0"/>
        <w:jc w:val="start"/>
        <w:rPr/>
      </w:pPr>
      <w:r>
        <w:rPr/>
        <w:t>Coupled systems have recognizable symptoms.</w:t>
      </w:r>
    </w:p>
    <w:p>
      <w:pPr>
        <w:pStyle w:val="BodyText"/>
        <w:bidi w:val="0"/>
        <w:jc w:val="start"/>
        <w:rPr/>
      </w:pPr>
      <w:r>
        <w:rPr/>
        <w:t>The workflow breaks when one tool regresses, because that tool is load-bearing. Backend choice is habit rather than policy. The team uses what it has always used, and no one writes down why. Prompts contain workarounds for one model’s tendencies. Output parsers depend on one model’s formatting habits. Costs and quotas begin to reshape task design itself.</w:t>
      </w:r>
    </w:p>
    <w:p>
      <w:pPr>
        <w:pStyle w:val="BodyText"/>
        <w:bidi w:val="0"/>
        <w:jc w:val="start"/>
        <w:rPr/>
      </w:pPr>
      <w:r>
        <w:rPr/>
        <w:t>The strongest signal is also the most common one: when asked “why this backend for this task?” the team answers in terms of familiarity, not the work’s properties.</w:t>
      </w:r>
    </w:p>
    <w:p>
      <w:pPr>
        <w:pStyle w:val="BodyText"/>
        <w:bidi w:val="0"/>
        <w:jc w:val="start"/>
        <w:rPr/>
      </w:pPr>
      <w:r>
        <w:rPr/>
        <w:t>That is identity, not policy.</w:t>
      </w:r>
    </w:p>
    <w:p>
      <w:pPr>
        <w:pStyle w:val="BodyText"/>
        <w:bidi w:val="0"/>
        <w:jc w:val="start"/>
        <w:rPr/>
      </w:pPr>
      <w:r>
        <w:rPr/>
        <w:t>A multi-backend system answers differently. Backend choice is part of the contract. The contract was written from the work. The routing policy reflects cost, capability, latency, and risk. If the backend is wrong for the task, the contract or policy can be revised without re-engineering the whole workflow around the wrong choice.</w:t>
      </w:r>
    </w:p>
    <w:p>
      <w:pPr>
        <w:pStyle w:val="Heading2"/>
        <w:bidi w:val="0"/>
        <w:jc w:val="start"/>
        <w:rPr/>
      </w:pPr>
      <w:r>
        <w:rPr/>
        <w:t>Is this too much abstraction for small teams?</w:t>
      </w:r>
    </w:p>
    <w:p>
      <w:pPr>
        <w:pStyle w:val="BodyText"/>
        <w:bidi w:val="0"/>
        <w:jc w:val="start"/>
        <w:rPr/>
      </w:pPr>
      <w:r>
        <w:rPr/>
        <w:t>The objection is fair. Multi-backend routing in its full form can sound like enterprise infrastructure for a small operation. For a hobbyist running occasional AI-assisted edits, the full pattern is probably too much.</w:t>
      </w:r>
    </w:p>
    <w:p>
      <w:pPr>
        <w:pStyle w:val="BodyText"/>
        <w:bidi w:val="0"/>
        <w:jc w:val="start"/>
        <w:rPr/>
      </w:pPr>
      <w:r>
        <w:rPr/>
        <w:t>But the smallest useful version is not a platform. It is two backends and a seam.</w:t>
      </w:r>
    </w:p>
    <w:p>
      <w:pPr>
        <w:pStyle w:val="BodyText"/>
        <w:bidi w:val="0"/>
        <w:jc w:val="start"/>
        <w:rPr/>
      </w:pPr>
      <w:r>
        <w:rPr/>
        <w:t>A team doing recurring AI-assisted development, even at small scale, benefits from that smallest version. The protection against a single provider’s regression is roughly proportional to the number of usable alternatives, and the jump from one to two is the largest improvement.</w:t>
      </w:r>
    </w:p>
    <w:p>
      <w:pPr>
        <w:pStyle w:val="BodyText"/>
        <w:bidi w:val="0"/>
        <w:jc w:val="start"/>
        <w:rPr/>
      </w:pPr>
      <w:r>
        <w:rPr/>
        <w:t>The pattern also pays before the first outage. A team that combines a quota-backed subscription with a metered API can often recover the abstraction cost through ordinary use. Recurring agentic work has enough repetition for routing policy to matter.</w:t>
      </w:r>
    </w:p>
    <w:p>
      <w:pPr>
        <w:pStyle w:val="BodyText"/>
        <w:bidi w:val="0"/>
        <w:jc w:val="start"/>
        <w:rPr/>
      </w:pPr>
      <w:r>
        <w:rPr/>
        <w:t>Risk management makes the pattern sound expensive. Cost management often reveals it as cheap.</w:t>
      </w:r>
    </w:p>
    <w:p>
      <w:pPr>
        <w:pStyle w:val="BodyText"/>
        <w:bidi w:val="0"/>
        <w:jc w:val="start"/>
        <w:rPr/>
      </w:pPr>
      <w:r>
        <w:rPr/>
        <w:t>The right time to introduce the seam is before it is needed. By the time it is needed, the coupling has already hardened.</w:t>
      </w:r>
    </w:p>
    <w:p>
      <w:pPr>
        <w:pStyle w:val="Heading2"/>
        <w:bidi w:val="0"/>
        <w:jc w:val="start"/>
        <w:rPr/>
      </w:pPr>
      <w:r>
        <w:rPr/>
        <w:t>Closing</w:t>
      </w:r>
    </w:p>
    <w:p>
      <w:pPr>
        <w:pStyle w:val="BodyText"/>
        <w:bidi w:val="0"/>
        <w:jc w:val="start"/>
        <w:rPr/>
      </w:pPr>
      <w:r>
        <w:rPr/>
        <w:t>The system is what surrounds the model: the contracts, the supervisor, the verification, the routing, and the record of what happened. That system should outlast any specific model the team is using now.</w:t>
      </w:r>
    </w:p>
    <w:p>
      <w:pPr>
        <w:pStyle w:val="BodyText"/>
        <w:bidi w:val="0"/>
        <w:jc w:val="start"/>
        <w:rPr/>
      </w:pPr>
      <w:r>
        <w:rPr/>
        <w:t>Models will keep changing. Providers will keep changing. The durable architecture is the one that treats backends as replaceable workers, not as part of its identity.</w:t>
      </w:r>
    </w:p>
    <w:p>
      <w:pPr>
        <w:pStyle w:val="BodyText"/>
        <w:bidi w:val="0"/>
        <w:jc w:val="start"/>
        <w:rPr/>
      </w:pPr>
      <w:r>
        <w:rPr/>
        <w:t>The price of the pattern is adapter maintenance. The price of not having it is dependence on a vendor’s changing product surface.</w:t>
      </w:r>
    </w:p>
    <w:p>
      <w:pPr>
        <w:pStyle w:val="BodyText"/>
        <w:bidi w:val="0"/>
        <w:jc w:val="start"/>
        <w:rPr/>
      </w:pPr>
      <w:r>
        <w:rPr/>
        <w:t>The abstraction earns its keep when a backend fails, regresses, gets expensive, or proves wrong for the task. In this market, that happens often enough to justify the seam before the first emergency.</w:t>
      </w:r>
    </w:p>
    <w:p>
      <w:pPr>
        <w:pStyle w:val="BodyText"/>
        <w:bidi w:val="0"/>
        <w:jc w:val="start"/>
        <w:rPr/>
      </w:pPr>
      <w:r>
        <w:rPr/>
        <w:t>Multi-backend routing is not a virtuosity move. It is what dependability looks like when the underlying components change faster than the architectures built on top of them.</w:t>
      </w:r>
    </w:p>
    <w:p>
      <w:pPr>
        <w:pStyle w:val="BodyText"/>
        <w:bidi w:val="0"/>
        <w:jc w:val="start"/>
        <w:rPr/>
      </w:pPr>
      <w:r>
        <w:rPr/>
        <w:t>In a stable market, single-vendor systems may be a defensible optimization. In a moving market, they are an unacknowledged liability.</w:t>
      </w:r>
    </w:p>
    <w:p>
      <w:pPr>
        <w:pStyle w:val="BodyText"/>
        <w:bidi w:val="0"/>
        <w:jc w:val="start"/>
        <w:rPr/>
      </w:pPr>
      <w:r>
        <w:rPr/>
        <w:t>The diagnostic to keep is the one from the opening: if the provider you depend on most changed sharply tomorrow, how much of your work would still function?</w:t>
      </w:r>
    </w:p>
    <w:p>
      <w:pPr>
        <w:pStyle w:val="BodyText"/>
        <w:bidi w:val="0"/>
        <w:jc w:val="start"/>
        <w:rPr/>
      </w:pPr>
      <w:r>
        <w:rPr/>
        <w:t>The answer measures resilience, not current performance.</w:t>
      </w:r>
    </w:p>
    <w:p>
      <w:pPr>
        <w:pStyle w:val="BodyText"/>
        <w:bidi w:val="0"/>
        <w:spacing w:before="0" w:after="14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Mono">
    <w:altName w:val="Courier New"/>
    <w:charset w:val="01" w:characterSet="utf-8"/>
    <w:family w:val="modern"/>
    <w:pitch w:val="fixed"/>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Emphasis">
    <w:name w:val="Emphasis"/>
    <w:qFormat/>
    <w:rPr>
      <w:i/>
      <w:iCs/>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5</Pages>
  <Words>1821</Words>
  <Characters>9974</Characters>
  <CharactersWithSpaces>11876</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2026-04-25T15:34:59Z</dcterms:created>
  <dc:creator/>
  <dc:description/>
  <dc:language>en-US</dc:language>
  <cp:lastModifiedBy/>
  <dcterms:modified xsi:type="dcterms:W3CDTF">2026-04-25T15:40:49Z</dcterms:modified>
  <cp:revision>4</cp:revision>
  <dc:subject/>
  <dc:title/>
</cp:coreProperties>
</file>